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4" w:rsidRPr="00564842" w:rsidRDefault="00091C5C" w:rsidP="00CA581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CA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655CAE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91C5C"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564842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091C5C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7345E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5E7">
        <w:rPr>
          <w:rFonts w:ascii="Times New Roman" w:hAnsi="Times New Roman" w:cs="Times New Roman"/>
          <w:b/>
          <w:sz w:val="28"/>
          <w:szCs w:val="28"/>
        </w:rPr>
        <w:t>(1)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7918" w:rsidRPr="00747918" w:rsidRDefault="00747918" w:rsidP="00747918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</w:pPr>
      <w:r w:rsidRPr="00747918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>Руководителям образовательных организаций, специалистам по охране труда, председателям террито</w:t>
      </w:r>
      <w:r w:rsidR="00F203A4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>риальных и первичных организаций</w:t>
      </w:r>
      <w:bookmarkStart w:id="0" w:name="_GoBack"/>
      <w:bookmarkEnd w:id="0"/>
      <w:r w:rsidRPr="00747918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 xml:space="preserve"> профсоюза</w:t>
      </w:r>
    </w:p>
    <w:p w:rsidR="008F5154" w:rsidRDefault="00747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EBDF" wp14:editId="791282A8">
                <wp:simplePos x="0" y="0"/>
                <wp:positionH relativeFrom="page">
                  <wp:posOffset>447675</wp:posOffset>
                </wp:positionH>
                <wp:positionV relativeFrom="paragraph">
                  <wp:posOffset>71755</wp:posOffset>
                </wp:positionV>
                <wp:extent cx="6819900" cy="775335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753350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Таблица, которая упростит работу при пересмотре локальных документов по охране труда.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Theme="minorHAnsi" w:hAnsi="Times New Roman" w:cs="Times New Roman"/>
                                <w:color w:val="0070C0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В новой редакции изменилась нумерация статей, поэтому пересмотрите все локальные документы по охране труда, в которых есть ссылки на статьи Х раздела.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color w:val="4472C4" w:themeColor="accent5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b/>
                                <w:color w:val="4472C4" w:themeColor="accent5"/>
                                <w:lang w:eastAsia="en-US"/>
                              </w:rPr>
                              <w:t>Таблица</w:t>
                            </w:r>
                          </w:p>
                          <w:tbl>
                            <w:tblPr>
                              <w:tblStyle w:val="a7"/>
                              <w:tblW w:w="103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804"/>
                            </w:tblGrid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lang w:eastAsia="en-US"/>
                                    </w:rPr>
                                    <w:t>Действующая редакция Х раздела ТК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lang w:eastAsia="en-US"/>
                                    </w:rPr>
                                    <w:t>Редакция Х раздела ТК, которая вступит в силу 01.03.2022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33 Общие положения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33 Общие положения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209 Основные понятия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209 Основные понятия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209.1 Основные принципы обеспечения безопасности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34 Требования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34 Государственное управление охраной труда и требования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211 (ст. 212) Государственные нормативные требования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211 Государственное управление охраной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211.1 Полномочия Правительства Российской Федерации в области охраны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211.2 Полномочия федеральных органов исполнительной власти в области охраны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211.3 Полномочия органов исполнительной власти субъектов Российской Федерации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212 (ст. 214) Обязанности работодателя по обеспечению безопасных условий и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212 Государственные нормативные требования охраны труда и национальные стандарты безопасности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213 (ст. 220) Медицинские осмотры некоторых категорий работников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213 Государственная экспертиза условий труда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 Статья 213.1 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214 (ст. 215) Обязанности работника в области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215 (ст. 213.1) Соответствие производственных объектов и продукции государственным нормативным требованиям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35 Организация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35 Права и обязанности работодателя и работника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214 Обязанности работодателя в области охраны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214.1 Запрет на работу в опасных условиях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214.2 Права работодателя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215 Обязанности работника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216 (ст. 211) Государственное управление охраной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216 Права работника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 Статья 216.1 (ст. 213) Государственная экспертиза условий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216.1 Гарантии права работников на труд в условиях, соответствующих требованиям охраны труда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216.2. Право работника на получение информации об условиях и охране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216.3 Обеспечение права работников на санитарно-бытовое обслуживание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217 (ст. 223) Служба охраны труда в организации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218 (ст. 224) Комитеты (комиссии) по охране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 Обеспечение прав работников на охрану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 Управление охраной труда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217 Система управления охраной труда Статья 218 Профессиональные риски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219 (ст. 216) Право работника на труд в условиях, отвечающих требованиям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219 Обучение по охране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220 (ст. 216.1) Гарантии права работников на труд в условиях, соответствующих требованиям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Статья 220 Медицинские осмотры некоторых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категорий работников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221 Обеспечение работников средствами индивидуальной защиты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221 Обеспечение работников средствами индивидуальной защиты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222 Выдача молока и лечебно-профилактического питания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222 Обеспечение работников молоком или другими равноценными пищевыми продуктами, лечебно-профилактическим питанием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223 (ст. 216.3) Санитарно-бытовое обслуживание и медицинское обеспечение работников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223 Служба охраны труда у работодателя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224 (ст. 216.1) Дополнительные гарантии охраны труда отдельным категориям работников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224 Комитеты (комиссии) по охране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225 (ст. 219) Обучение в области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Статья 225 Финансирование мероприятий по улучшению условий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36.1 Расследование, оформление (рассмотрение), учет микроповреждений (микротравм), несчастных случаев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</w:t>
                                  </w:r>
                                  <w:proofErr w:type="gramStart"/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226  (</w:t>
                                  </w:r>
                                  <w:proofErr w:type="gramEnd"/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ст. 225) Финансирование мероприятий по улучшению 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условий  и охраны 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226 Микроповреждения (микротравмы)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227 Несчастные случаи, подлежащие 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расследованию и учету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227  Несчастные случаи, подлежащие  расследованию и учету</w:t>
                                  </w:r>
                                </w:p>
                              </w:tc>
                            </w:tr>
                          </w:tbl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ED32E9" w:rsidRDefault="00ED32E9" w:rsidP="00091C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1EBDF" id="Скругленный прямоугольник 1" o:spid="_x0000_s1026" style="position:absolute;margin-left:35.25pt;margin-top:5.65pt;width:537pt;height:61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">
                <v:textbox>
                  <w:txbxContent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345E7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Таблица, которая упростит работу при пересмотре локальных документов по охране труда.</w:t>
                      </w:r>
                    </w:p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rPr>
                          <w:rFonts w:ascii="Times New Roman" w:eastAsiaTheme="minorHAnsi" w:hAnsi="Times New Roman" w:cs="Times New Roman"/>
                          <w:color w:val="0070C0"/>
                          <w:lang w:eastAsia="en-US"/>
                        </w:rPr>
                      </w:pPr>
                      <w:r w:rsidRPr="007345E7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В новой редакции изменилась нумерация статей, поэтому пересмотрите все локальные документы по охране труда, в которых есть ссылки на статьи Х раздела. </w:t>
                      </w:r>
                    </w:p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color w:val="4472C4" w:themeColor="accent5"/>
                          <w:lang w:eastAsia="en-US"/>
                        </w:rPr>
                      </w:pPr>
                      <w:r w:rsidRPr="007345E7">
                        <w:rPr>
                          <w:rFonts w:ascii="Times New Roman" w:eastAsiaTheme="minorHAnsi" w:hAnsi="Times New Roman" w:cs="Times New Roman"/>
                          <w:b/>
                          <w:color w:val="4472C4" w:themeColor="accent5"/>
                          <w:lang w:eastAsia="en-US"/>
                        </w:rPr>
                        <w:t>Таблица</w:t>
                      </w:r>
                    </w:p>
                    <w:tbl>
                      <w:tblPr>
                        <w:tblStyle w:val="a7"/>
                        <w:tblW w:w="1034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804"/>
                      </w:tblGrid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  <w:t>Действующая редакция Х раздела ТК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  <w:t>Редакция Х раздела ТК, которая вступит в силу 01.03.2022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33 Общие положения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33 Общие положения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209 Основные понятия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209 Основные понятия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209.1 Основные принципы обеспечения безопасности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34 Требования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34 Государственное управление охраной труда и требования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211 (ст. 212) Государственные нормативные требования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211 Государственное управление охраной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211.1 Полномочия Правительства Российской Федерации в области охраны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211.2 Полномочия федеральных органов исполнительной власти в области охраны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211.3 Полномочия органов исполнительной власти субъектов Российской Федерации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212 (ст. 214) Обязанности работодателя по обеспечению безопасных условий и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212 Государственные нормативные требования охраны труда и национальные стандарты безопасности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213 (ст. 220) Медицинские осмотры некоторых категорий работников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213 Государственная экспертиза условий труда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Статья 213.1 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214 (ст. 215) Обязанности работника в области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215 (ст. 213.1) Соответствие производственных объектов и продукции государственным нормативным требованиям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35 Организация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35 Права и обязанности работодателя и работника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214 Обязанности работодателя в области охраны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214.1 Запрет на работу в опасных условиях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214.2 Права работодателя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215 Обязанности работника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216 (ст. 211) Государственное управление охраной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216 Права работника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Статья 216.1 (ст. 213) Государственная экспертиза условий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216.1 Гарантии права работников на труд в условиях, соответствующих требованиям охраны труда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216.2. Право работника на получение информации об условиях и охране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216.3 Обеспечение права работников на санитарно-бытовое обслуживание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217 (ст. 223) Служба охраны труда в организации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218 (ст. 224) Комитеты (комиссии) по охране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 Обеспечение прав работников на охрану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 Управление охраной труда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217 Система управления охраной труда Статья 218 Профессиональные риски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219 (ст. 216) Право работника на труд в условиях, отвечающих требованиям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219 Обучение по охране труда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220 (ст. 216.1) Гарантии права работников на труд в условиях, соответствующих требованиям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Статья 220 Медицинские осмотры некоторых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категорий работников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221 Обеспечение работников средствами индивидуальной защиты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221 Обеспечение работников средствами индивидуальной защиты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222 Выдача молока и лечебно-профилактического питания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222 Обеспечение работников молоком или другими равноценными пищевыми продуктами, лечебно-профилактическим питанием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223 (ст. 216.3) Санитарно-бытовое обслуживание и медицинское обеспечение работников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223 Служба охраны труда у работодателя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224 (ст. 216.1) Дополнительные гарантии охраны труда отдельным категориям работников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224 Комитеты (комиссии) по охране труда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225 (ст. 219) Обучение в области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Статья 225 Финансирование мероприятий по улучшению условий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36.1 Расследование, оформление (рассмотрение), учет микроповреждений (микротравм), несчастных случаев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</w:t>
                            </w:r>
                            <w:proofErr w:type="gramStart"/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226  (</w:t>
                            </w:r>
                            <w:proofErr w:type="gramEnd"/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ст. 225) Финансирование мероприятий по улучшению 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условий  и охраны 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226 Микроповреждения (микротравмы)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227 Несчастные случаи, подлежащие 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расследованию и учету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227  Несчастные случаи, подлежащие  расследованию и учету</w:t>
                            </w:r>
                          </w:p>
                        </w:tc>
                      </w:tr>
                    </w:tbl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p w:rsidR="00ED32E9" w:rsidRDefault="00ED32E9" w:rsidP="00091C5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8440D"/>
    <w:rsid w:val="002148C2"/>
    <w:rsid w:val="00445B1B"/>
    <w:rsid w:val="005005CF"/>
    <w:rsid w:val="00516795"/>
    <w:rsid w:val="00564842"/>
    <w:rsid w:val="00655CAE"/>
    <w:rsid w:val="007345E7"/>
    <w:rsid w:val="00747918"/>
    <w:rsid w:val="007B7768"/>
    <w:rsid w:val="008F5154"/>
    <w:rsid w:val="009E6574"/>
    <w:rsid w:val="00A235CB"/>
    <w:rsid w:val="00A8160E"/>
    <w:rsid w:val="00AA1EAD"/>
    <w:rsid w:val="00B26ED6"/>
    <w:rsid w:val="00C66C76"/>
    <w:rsid w:val="00CA5812"/>
    <w:rsid w:val="00D62B99"/>
    <w:rsid w:val="00D700F4"/>
    <w:rsid w:val="00E51666"/>
    <w:rsid w:val="00ED32E9"/>
    <w:rsid w:val="00EF0EC4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2E56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73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ADMIN3</cp:lastModifiedBy>
  <cp:revision>8</cp:revision>
  <cp:lastPrinted>2022-05-17T23:38:00Z</cp:lastPrinted>
  <dcterms:created xsi:type="dcterms:W3CDTF">2022-02-16T05:21:00Z</dcterms:created>
  <dcterms:modified xsi:type="dcterms:W3CDTF">2022-05-17T23:38:00Z</dcterms:modified>
</cp:coreProperties>
</file>