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C5" w:rsidRPr="00296A8A" w:rsidRDefault="00AD4E6A" w:rsidP="00074F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82008A">
        <w:rPr>
          <w:b/>
          <w:sz w:val="28"/>
          <w:szCs w:val="28"/>
        </w:rPr>
        <w:t>2016</w:t>
      </w:r>
    </w:p>
    <w:p w:rsidR="00074F58" w:rsidRDefault="00074F58" w:rsidP="00296A8A">
      <w:pPr>
        <w:spacing w:after="0"/>
        <w:ind w:firstLine="708"/>
        <w:jc w:val="both"/>
      </w:pPr>
      <w:r w:rsidRPr="00220744">
        <w:rPr>
          <w:b/>
          <w:sz w:val="28"/>
          <w:szCs w:val="28"/>
        </w:rPr>
        <w:t>К</w:t>
      </w:r>
      <w:r w:rsidRPr="00220744">
        <w:rPr>
          <w:b/>
        </w:rPr>
        <w:t>редитный потребительский кооператив «Учитель Забайкалья»</w:t>
      </w:r>
      <w:r>
        <w:t xml:space="preserve"> создан более 5 лет назад для снижения социальной напряженности, а также для защиты членов профсоюза от банков «однодневок», в которых грабительская процентная ставка за пользование кредита в несколько десятков</w:t>
      </w:r>
      <w:r w:rsidR="00C372BB">
        <w:t xml:space="preserve"> раз превышающая ставку нашего к</w:t>
      </w:r>
      <w:r>
        <w:t xml:space="preserve">орпоративного КПК. </w:t>
      </w:r>
      <w:proofErr w:type="gramStart"/>
      <w:r>
        <w:t>Как пример</w:t>
      </w:r>
      <w:r w:rsidR="00C20641">
        <w:t xml:space="preserve"> для сравнения</w:t>
      </w:r>
      <w:r w:rsidRPr="00053AD1">
        <w:t>:</w:t>
      </w:r>
      <w:r>
        <w:t xml:space="preserve"> 1% ежедневно в </w:t>
      </w:r>
      <w:r w:rsidR="00C20641">
        <w:t xml:space="preserve">банке «Быстро денежки» </w:t>
      </w:r>
      <w:r>
        <w:t>составляет 365% годовых и 0,035%</w:t>
      </w:r>
      <w:r w:rsidR="00C20641">
        <w:t xml:space="preserve"> ежедневная ставка</w:t>
      </w:r>
      <w:r>
        <w:t xml:space="preserve"> в КПК «Учитель Забайкалья»</w:t>
      </w:r>
      <w:r w:rsidR="00C20641">
        <w:t xml:space="preserve"> составляет </w:t>
      </w:r>
      <w:r>
        <w:t>13% годовых.</w:t>
      </w:r>
      <w:proofErr w:type="gramEnd"/>
      <w:r>
        <w:t xml:space="preserve"> Членами КПК может стать каждый член профсоюза работников  образования и науки в Забайкалье, уплатив вступительный взнос 350 рублей, паевой взнос 2500 рублей</w:t>
      </w:r>
      <w:r w:rsidR="0063109B">
        <w:t>, ежемесячный членский взнос 25 рублей</w:t>
      </w:r>
      <w:r>
        <w:t xml:space="preserve">. КПК </w:t>
      </w:r>
      <w:proofErr w:type="gramStart"/>
      <w:r>
        <w:t>создан</w:t>
      </w:r>
      <w:proofErr w:type="gramEnd"/>
      <w:r>
        <w:t xml:space="preserve"> для выдачи потребительских займов членам КПК, а также для  оказания услуг по хранению и сбережению денежных средств  с компенсацией процентов за их использование.  </w:t>
      </w:r>
    </w:p>
    <w:p w:rsidR="0089091B" w:rsidRDefault="004859AE" w:rsidP="00296A8A">
      <w:pPr>
        <w:spacing w:after="0"/>
        <w:ind w:firstLine="708"/>
        <w:jc w:val="both"/>
      </w:pPr>
      <w:r>
        <w:t xml:space="preserve">2016 год был </w:t>
      </w:r>
      <w:r w:rsidR="007B64B9">
        <w:t xml:space="preserve"> сложным и </w:t>
      </w:r>
      <w:r w:rsidR="00224B99">
        <w:t xml:space="preserve">напряженным. </w:t>
      </w:r>
      <w:r w:rsidR="00C372BB">
        <w:t xml:space="preserve">В конце 2015 сменился директор и главный бухгалтер КПК. В </w:t>
      </w:r>
      <w:proofErr w:type="gramStart"/>
      <w:r w:rsidR="00C372BB">
        <w:t>связи</w:t>
      </w:r>
      <w:proofErr w:type="gramEnd"/>
      <w:r w:rsidR="00C372BB">
        <w:t xml:space="preserve"> с чем </w:t>
      </w:r>
      <w:r w:rsidR="00C20641">
        <w:t xml:space="preserve"> в отчетном году продолжалась работа по сверке</w:t>
      </w:r>
      <w:r w:rsidR="00C372BB">
        <w:t xml:space="preserve"> всех платежей, уточнялся бухгалтерский учет и отчётность, анализировали платежеспособность пайщиков, отрабатывали процедуру взыскания, вносились изменения в Устав, искали пути как выжить. </w:t>
      </w:r>
      <w:r w:rsidR="0003549E">
        <w:t xml:space="preserve">Задержка заработной платы работникам </w:t>
      </w:r>
      <w:r w:rsidR="00C20641">
        <w:t>образования Забайкальского края также</w:t>
      </w:r>
      <w:r w:rsidR="0063109B">
        <w:t xml:space="preserve"> весь год дестабилизировала работу КПК</w:t>
      </w:r>
      <w:r w:rsidR="0089091B">
        <w:t xml:space="preserve"> – появлялась просрочка по займам.</w:t>
      </w:r>
      <w:r w:rsidR="0003549E">
        <w:t xml:space="preserve"> </w:t>
      </w:r>
      <w:r w:rsidR="00DD3156">
        <w:t>Заёмщики не привыкли возвращать долг в установленные сроки.</w:t>
      </w:r>
      <w:r w:rsidR="0063198D">
        <w:t xml:space="preserve"> </w:t>
      </w:r>
      <w:r w:rsidR="00DD3156">
        <w:t>Р</w:t>
      </w:r>
      <w:r w:rsidR="00992EC2">
        <w:t>азв</w:t>
      </w:r>
      <w:r w:rsidR="0089091B">
        <w:t>итие кооператива</w:t>
      </w:r>
      <w:r w:rsidR="00992EC2">
        <w:t xml:space="preserve"> </w:t>
      </w:r>
      <w:r w:rsidR="00224B99">
        <w:t xml:space="preserve">не вселяло </w:t>
      </w:r>
      <w:r w:rsidR="007B64B9">
        <w:t>оптимизм</w:t>
      </w:r>
      <w:r w:rsidR="00224B99">
        <w:t>а</w:t>
      </w:r>
      <w:r w:rsidR="007B64B9">
        <w:t xml:space="preserve"> </w:t>
      </w:r>
      <w:r w:rsidR="00DD3156">
        <w:t>и потому</w:t>
      </w:r>
      <w:r w:rsidR="00224B99">
        <w:t xml:space="preserve"> подводить </w:t>
      </w:r>
      <w:r w:rsidR="00DD3156">
        <w:t xml:space="preserve">итоги </w:t>
      </w:r>
      <w:r w:rsidR="0063109B">
        <w:t>2016 года не просто</w:t>
      </w:r>
      <w:r w:rsidR="007B64B9">
        <w:t xml:space="preserve">. </w:t>
      </w:r>
      <w:r w:rsidR="00674EDC">
        <w:t>Численность пайщиков сократилась и составила 497.</w:t>
      </w:r>
      <w:r w:rsidR="00674EDC" w:rsidRPr="00674EDC">
        <w:t xml:space="preserve"> </w:t>
      </w:r>
      <w:proofErr w:type="gramStart"/>
      <w:r w:rsidR="00674EDC">
        <w:t>Из</w:t>
      </w:r>
      <w:proofErr w:type="gramEnd"/>
      <w:r w:rsidR="00674EDC">
        <w:t xml:space="preserve"> - </w:t>
      </w:r>
      <w:proofErr w:type="gramStart"/>
      <w:r w:rsidR="00674EDC">
        <w:t>за</w:t>
      </w:r>
      <w:proofErr w:type="gramEnd"/>
      <w:r w:rsidR="00674EDC">
        <w:t xml:space="preserve"> неоднократных нарушений сроков уплаты займов из кооператива исключено</w:t>
      </w:r>
      <w:r w:rsidR="009D4986">
        <w:t xml:space="preserve"> 44 пайщика</w:t>
      </w:r>
      <w:r w:rsidR="00674EDC">
        <w:t>.</w:t>
      </w:r>
      <w:r w:rsidR="00984CC4">
        <w:t xml:space="preserve"> Вступило –</w:t>
      </w:r>
      <w:r w:rsidR="00C372BB">
        <w:t>39.</w:t>
      </w:r>
      <w:r w:rsidR="0089091B">
        <w:t xml:space="preserve"> Исключали за систематические и длительные нарушения договора потребительского займа.</w:t>
      </w:r>
    </w:p>
    <w:p w:rsidR="0089091B" w:rsidRDefault="00674EDC" w:rsidP="00296A8A">
      <w:pPr>
        <w:spacing w:after="0"/>
        <w:ind w:firstLine="708"/>
        <w:jc w:val="both"/>
      </w:pPr>
      <w:r>
        <w:t xml:space="preserve"> </w:t>
      </w:r>
      <w:r w:rsidR="007B64B9">
        <w:t xml:space="preserve">Хотелось бы </w:t>
      </w:r>
      <w:r w:rsidR="00C372BB">
        <w:t>надеяться</w:t>
      </w:r>
      <w:r w:rsidR="007B64B9">
        <w:t>,</w:t>
      </w:r>
      <w:r w:rsidR="00F56B6E">
        <w:t xml:space="preserve"> что перемены к лучшему прижились.</w:t>
      </w:r>
      <w:r w:rsidR="00C372BB">
        <w:t xml:space="preserve"> «Ч</w:t>
      </w:r>
      <w:r w:rsidR="007B64B9">
        <w:t>ерная полоса» осталась позади, но предстоит еще</w:t>
      </w:r>
      <w:r w:rsidR="00224B99">
        <w:t xml:space="preserve"> не</w:t>
      </w:r>
      <w:r w:rsidR="007B64B9">
        <w:t xml:space="preserve"> один сложный год. Ведь в 2017 </w:t>
      </w:r>
      <w:r w:rsidR="001166F7">
        <w:t xml:space="preserve">необходимо добиться существенных результатов от взыскания просроченных долгов и минимизировать начисление </w:t>
      </w:r>
      <w:r w:rsidR="00AD4E6A">
        <w:t>резерв</w:t>
      </w:r>
      <w:r w:rsidR="001166F7">
        <w:t>а</w:t>
      </w:r>
      <w:r w:rsidR="00AD4E6A">
        <w:t xml:space="preserve"> на возможные потери по просроченным займам</w:t>
      </w:r>
      <w:r w:rsidR="00854764">
        <w:t xml:space="preserve">, </w:t>
      </w:r>
      <w:r w:rsidR="00AD4E6A">
        <w:t>готовиться</w:t>
      </w:r>
      <w:r w:rsidR="00456D40">
        <w:t xml:space="preserve"> к</w:t>
      </w:r>
      <w:r w:rsidR="0089091B">
        <w:t xml:space="preserve"> работе бухгалтерского учета на  банковском</w:t>
      </w:r>
      <w:r w:rsidR="00456D40">
        <w:t xml:space="preserve"> план</w:t>
      </w:r>
      <w:r w:rsidR="0089091B">
        <w:t>е</w:t>
      </w:r>
      <w:r w:rsidR="00456D40">
        <w:t xml:space="preserve"> счетов</w:t>
      </w:r>
      <w:r w:rsidR="0089091B">
        <w:t xml:space="preserve"> и банковских стандартах,</w:t>
      </w:r>
      <w:r w:rsidR="00AD4E6A">
        <w:t xml:space="preserve"> определиться с выбором  программного обеспечения, найти источник</w:t>
      </w:r>
      <w:r w:rsidR="00456D40">
        <w:t xml:space="preserve"> и параллельно выполнять </w:t>
      </w:r>
      <w:r w:rsidR="0003549E">
        <w:t>текущую работу</w:t>
      </w:r>
      <w:r w:rsidR="00456D40">
        <w:t xml:space="preserve">. </w:t>
      </w:r>
    </w:p>
    <w:p w:rsidR="00462A30" w:rsidRDefault="00456D40" w:rsidP="00296A8A">
      <w:pPr>
        <w:spacing w:after="0"/>
        <w:ind w:firstLine="708"/>
        <w:jc w:val="both"/>
      </w:pPr>
      <w:r>
        <w:t xml:space="preserve">Правление Кооператива </w:t>
      </w:r>
      <w:r w:rsidR="008E0D13">
        <w:t xml:space="preserve"> и</w:t>
      </w:r>
      <w:r w:rsidR="00024C63">
        <w:t xml:space="preserve">щет </w:t>
      </w:r>
      <w:r w:rsidR="009D4986">
        <w:t>пути</w:t>
      </w:r>
      <w:r w:rsidR="008E0D13">
        <w:t xml:space="preserve"> для </w:t>
      </w:r>
      <w:r w:rsidR="00024C63">
        <w:t xml:space="preserve"> </w:t>
      </w:r>
      <w:r w:rsidR="009D4986">
        <w:t>сохранения</w:t>
      </w:r>
      <w:r w:rsidR="008E0D13">
        <w:t xml:space="preserve"> жизн</w:t>
      </w:r>
      <w:r w:rsidR="002B0610">
        <w:t>едеятельности</w:t>
      </w:r>
      <w:r w:rsidR="008E0D13">
        <w:t xml:space="preserve"> кооперативу. </w:t>
      </w:r>
      <w:r w:rsidR="008E4206">
        <w:t xml:space="preserve">По решению </w:t>
      </w:r>
      <w:r w:rsidR="008E0D13">
        <w:t xml:space="preserve"> собрани</w:t>
      </w:r>
      <w:r w:rsidR="008E4206">
        <w:t>я пайщиков</w:t>
      </w:r>
      <w:r w:rsidR="00204473">
        <w:t>, проводимого</w:t>
      </w:r>
      <w:r w:rsidR="00024C63">
        <w:t xml:space="preserve"> в форме уполномоченных</w:t>
      </w:r>
      <w:r w:rsidR="008E4206">
        <w:t>,</w:t>
      </w:r>
      <w:r w:rsidR="00024C63">
        <w:t xml:space="preserve"> 23 августа </w:t>
      </w:r>
      <w:r w:rsidR="009D4986">
        <w:t>2016 года</w:t>
      </w:r>
      <w:r w:rsidR="00024C63">
        <w:t xml:space="preserve"> было </w:t>
      </w:r>
      <w:r w:rsidR="008E0D13">
        <w:t>принято</w:t>
      </w:r>
      <w:r w:rsidR="00024C63">
        <w:t xml:space="preserve"> решение о создании Резервного фонда</w:t>
      </w:r>
      <w:r w:rsidR="001D09CD">
        <w:t xml:space="preserve"> на непредвиденные расходы</w:t>
      </w:r>
      <w:r w:rsidR="008E4206">
        <w:t>.</w:t>
      </w:r>
      <w:r w:rsidR="00024C63">
        <w:t xml:space="preserve"> </w:t>
      </w:r>
      <w:r w:rsidR="00204473">
        <w:t>Всего н</w:t>
      </w:r>
      <w:r w:rsidR="00024C63">
        <w:t>а 31 декабря 2016 года</w:t>
      </w:r>
      <w:r w:rsidR="00204473">
        <w:t xml:space="preserve"> сформировано Резервов в размере </w:t>
      </w:r>
      <w:r w:rsidR="00AD4E6A">
        <w:t>377,0</w:t>
      </w:r>
      <w:r w:rsidR="00204473">
        <w:t xml:space="preserve"> тыс</w:t>
      </w:r>
      <w:proofErr w:type="gramStart"/>
      <w:r w:rsidR="00204473">
        <w:t>.р</w:t>
      </w:r>
      <w:proofErr w:type="gramEnd"/>
      <w:r w:rsidR="00204473">
        <w:t>ублей.</w:t>
      </w:r>
      <w:r w:rsidR="00462A30">
        <w:t xml:space="preserve"> В том числе Резерв по привлеченным средствам 29,0тыс</w:t>
      </w:r>
      <w:proofErr w:type="gramStart"/>
      <w:r w:rsidR="00462A30">
        <w:t>.р</w:t>
      </w:r>
      <w:proofErr w:type="gramEnd"/>
      <w:r w:rsidR="00462A30">
        <w:t xml:space="preserve">ублей. </w:t>
      </w:r>
      <w:r w:rsidR="00D31773">
        <w:t>Резерв</w:t>
      </w:r>
      <w:r w:rsidR="00204473">
        <w:t xml:space="preserve"> </w:t>
      </w:r>
      <w:r w:rsidR="00D31773">
        <w:t xml:space="preserve">на непредвиденные расходы </w:t>
      </w:r>
      <w:r w:rsidR="00AD4E6A">
        <w:t>348,0</w:t>
      </w:r>
      <w:r w:rsidR="00462A30">
        <w:t>тыс</w:t>
      </w:r>
      <w:proofErr w:type="gramStart"/>
      <w:r w:rsidR="00462A30">
        <w:t>.р</w:t>
      </w:r>
      <w:proofErr w:type="gramEnd"/>
      <w:r w:rsidR="00462A30">
        <w:t>ублей за счёт дополнительных взносов с пайщиков</w:t>
      </w:r>
      <w:r w:rsidR="008160E5">
        <w:t xml:space="preserve">. В 2016 году </w:t>
      </w:r>
      <w:r w:rsidR="00462A30">
        <w:t>331,5тыс</w:t>
      </w:r>
      <w:proofErr w:type="gramStart"/>
      <w:r w:rsidR="00462A30">
        <w:t>.р</w:t>
      </w:r>
      <w:proofErr w:type="gramEnd"/>
      <w:r w:rsidR="00462A30">
        <w:t xml:space="preserve">ублей </w:t>
      </w:r>
      <w:r w:rsidR="008160E5">
        <w:t>внесли</w:t>
      </w:r>
      <w:r w:rsidR="00462A30">
        <w:t xml:space="preserve"> юридически</w:t>
      </w:r>
      <w:r w:rsidR="008160E5">
        <w:t>е</w:t>
      </w:r>
      <w:r w:rsidR="00462A30">
        <w:t xml:space="preserve"> лиц</w:t>
      </w:r>
      <w:r w:rsidR="008160E5">
        <w:t>а</w:t>
      </w:r>
      <w:r w:rsidR="00462A30">
        <w:t>, 16,2</w:t>
      </w:r>
      <w:r w:rsidR="008160E5">
        <w:t xml:space="preserve"> </w:t>
      </w:r>
      <w:r w:rsidR="00462A30">
        <w:t>тыс.рублей</w:t>
      </w:r>
      <w:r w:rsidR="008160E5">
        <w:t xml:space="preserve"> - </w:t>
      </w:r>
      <w:r w:rsidR="00462A30">
        <w:t>физически</w:t>
      </w:r>
      <w:r w:rsidR="008160E5">
        <w:t>е</w:t>
      </w:r>
      <w:r w:rsidR="00462A30">
        <w:t xml:space="preserve"> лиц</w:t>
      </w:r>
      <w:r w:rsidR="008160E5">
        <w:t>а</w:t>
      </w:r>
      <w:r w:rsidR="00462A30">
        <w:t>.</w:t>
      </w:r>
      <w:r w:rsidR="00D64307">
        <w:t xml:space="preserve"> </w:t>
      </w:r>
      <w:r w:rsidR="0063198D">
        <w:t>К</w:t>
      </w:r>
      <w:r w:rsidR="00777813">
        <w:t>ак и  тр</w:t>
      </w:r>
      <w:r w:rsidR="007C4338">
        <w:t>ебуется Указани</w:t>
      </w:r>
      <w:r w:rsidR="0063198D">
        <w:t>ями</w:t>
      </w:r>
      <w:r w:rsidR="00777813">
        <w:t xml:space="preserve"> Регулятора </w:t>
      </w:r>
      <w:r w:rsidR="0063198D">
        <w:t>начислили Резерв</w:t>
      </w:r>
      <w:r w:rsidR="0063198D" w:rsidRPr="001415C9">
        <w:t xml:space="preserve"> </w:t>
      </w:r>
      <w:r w:rsidR="0063198D">
        <w:t>на возможные потери по займам (РВПЗ) в сумме 347,6 тыс</w:t>
      </w:r>
      <w:proofErr w:type="gramStart"/>
      <w:r w:rsidR="0063198D">
        <w:t>.р</w:t>
      </w:r>
      <w:proofErr w:type="gramEnd"/>
      <w:r w:rsidR="0063198D">
        <w:t>ублей</w:t>
      </w:r>
      <w:r w:rsidR="0063198D" w:rsidRPr="0063198D">
        <w:t xml:space="preserve"> </w:t>
      </w:r>
      <w:r w:rsidR="0063198D">
        <w:t>(в размере 60% от просроченных займов)</w:t>
      </w:r>
      <w:r w:rsidR="00462A30">
        <w:t xml:space="preserve">. </w:t>
      </w:r>
    </w:p>
    <w:p w:rsidR="00275FF7" w:rsidRDefault="00462A30" w:rsidP="00275FF7">
      <w:pPr>
        <w:spacing w:after="0"/>
        <w:ind w:firstLine="708"/>
        <w:jc w:val="both"/>
      </w:pPr>
      <w:r>
        <w:t>Во избежание</w:t>
      </w:r>
      <w:r w:rsidR="00124F3D">
        <w:t xml:space="preserve"> убытков</w:t>
      </w:r>
      <w:r w:rsidR="001166F7">
        <w:t xml:space="preserve"> за 2016 г</w:t>
      </w:r>
      <w:r w:rsidR="00124F3D">
        <w:t xml:space="preserve"> работали над </w:t>
      </w:r>
      <w:r w:rsidR="008E4206">
        <w:t>сокращением</w:t>
      </w:r>
      <w:r w:rsidR="00124F3D">
        <w:t xml:space="preserve"> РВПЗ</w:t>
      </w:r>
      <w:r w:rsidR="008E4206">
        <w:t>.</w:t>
      </w:r>
      <w:r w:rsidR="0092687E">
        <w:t xml:space="preserve"> Правление  предостав</w:t>
      </w:r>
      <w:r w:rsidR="00113232">
        <w:t>ило отсрочки</w:t>
      </w:r>
      <w:r w:rsidR="0092687E">
        <w:t xml:space="preserve">  заёмщикам</w:t>
      </w:r>
      <w:r w:rsidR="00113232">
        <w:t xml:space="preserve">, которым не была выплачена заработная плата за декабрь, а также по ряду договоров потребительских займов продлило сроки погашения  </w:t>
      </w:r>
      <w:r w:rsidR="00C11337">
        <w:t xml:space="preserve">просроченной </w:t>
      </w:r>
      <w:r w:rsidR="00113232">
        <w:t>задолженности</w:t>
      </w:r>
      <w:r w:rsidR="00C11337">
        <w:t>.</w:t>
      </w:r>
      <w:r w:rsidR="00275FF7" w:rsidRPr="00275FF7">
        <w:t xml:space="preserve"> </w:t>
      </w:r>
      <w:r w:rsidR="00275FF7">
        <w:t>Было рассмотрено 26 заявлений о продлении срока уплаты и заключено дополнительных соглашений на 734,0 тыс</w:t>
      </w:r>
      <w:proofErr w:type="gramStart"/>
      <w:r w:rsidR="00275FF7">
        <w:t>.р</w:t>
      </w:r>
      <w:proofErr w:type="gramEnd"/>
      <w:r w:rsidR="00275FF7">
        <w:t>ублей.</w:t>
      </w:r>
    </w:p>
    <w:p w:rsidR="00113232" w:rsidRDefault="00F12228" w:rsidP="00296A8A">
      <w:pPr>
        <w:spacing w:after="0"/>
        <w:ind w:firstLine="708"/>
        <w:jc w:val="both"/>
      </w:pPr>
      <w:r>
        <w:t>С</w:t>
      </w:r>
      <w:r w:rsidR="00113232">
        <w:t>овместно с ответственными представителями</w:t>
      </w:r>
      <w:r w:rsidR="00124F3D">
        <w:t xml:space="preserve"> пайщиков </w:t>
      </w:r>
      <w:r w:rsidR="00113232">
        <w:t xml:space="preserve"> юридических лиц </w:t>
      </w:r>
      <w:r w:rsidR="007A5E32">
        <w:t xml:space="preserve"> достаточно </w:t>
      </w:r>
      <w:r>
        <w:t xml:space="preserve"> плотно занималис</w:t>
      </w:r>
      <w:r w:rsidR="008E4206">
        <w:t xml:space="preserve">ь взысканием </w:t>
      </w:r>
      <w:r w:rsidR="00AD4E6A">
        <w:t xml:space="preserve">займов, </w:t>
      </w:r>
      <w:r w:rsidR="008E4206">
        <w:t>не</w:t>
      </w:r>
      <w:r w:rsidR="00C13E53">
        <w:t xml:space="preserve"> возвращенных</w:t>
      </w:r>
      <w:r w:rsidR="008E4206">
        <w:t xml:space="preserve"> в </w:t>
      </w:r>
      <w:r w:rsidR="00AD4E6A">
        <w:t xml:space="preserve">прошлые </w:t>
      </w:r>
      <w:r w:rsidR="00C13E53">
        <w:t xml:space="preserve"> 2011</w:t>
      </w:r>
      <w:r w:rsidR="008E4206">
        <w:t>-2015 год</w:t>
      </w:r>
      <w:r w:rsidR="00AD4E6A">
        <w:t>ы</w:t>
      </w:r>
      <w:r w:rsidR="008E4206">
        <w:t>.</w:t>
      </w:r>
      <w:r>
        <w:t xml:space="preserve"> </w:t>
      </w:r>
      <w:r w:rsidR="00C11337">
        <w:t>В 2016 году в добровольном порядке взыскали 502,0 тыс</w:t>
      </w:r>
      <w:proofErr w:type="gramStart"/>
      <w:r w:rsidR="00C11337">
        <w:t>.р</w:t>
      </w:r>
      <w:proofErr w:type="gramEnd"/>
      <w:r w:rsidR="00C11337">
        <w:t xml:space="preserve">ублей. </w:t>
      </w:r>
      <w:r w:rsidR="006E7673">
        <w:t xml:space="preserve">В </w:t>
      </w:r>
      <w:r w:rsidR="0082008A">
        <w:t>Мировые Суды подано31 заявление</w:t>
      </w:r>
      <w:r w:rsidR="006E7673">
        <w:t xml:space="preserve"> на  взыскание </w:t>
      </w:r>
      <w:r w:rsidR="0082008A">
        <w:t xml:space="preserve">основного </w:t>
      </w:r>
      <w:r w:rsidR="006E7673">
        <w:t>долг</w:t>
      </w:r>
      <w:r w:rsidR="0082008A">
        <w:t>а 940,5 тыс</w:t>
      </w:r>
      <w:proofErr w:type="gramStart"/>
      <w:r w:rsidR="0082008A">
        <w:t>.р</w:t>
      </w:r>
      <w:proofErr w:type="gramEnd"/>
      <w:r w:rsidR="0082008A">
        <w:t>ублей, в том числе в 2016 -29 заявлений</w:t>
      </w:r>
      <w:r w:rsidR="006E7673">
        <w:t xml:space="preserve"> на сумму </w:t>
      </w:r>
      <w:r w:rsidR="0082008A">
        <w:t>887,6</w:t>
      </w:r>
      <w:r w:rsidR="006E7673">
        <w:t>тыс.рублей.</w:t>
      </w:r>
      <w:r>
        <w:t xml:space="preserve"> </w:t>
      </w:r>
      <w:r w:rsidR="006E7673">
        <w:t>У</w:t>
      </w:r>
      <w:r>
        <w:t>довлетворены</w:t>
      </w:r>
      <w:r w:rsidR="00C13E53" w:rsidRPr="00C13E53">
        <w:t xml:space="preserve"> </w:t>
      </w:r>
      <w:r w:rsidR="00C13E53">
        <w:t xml:space="preserve">все </w:t>
      </w:r>
      <w:r w:rsidR="00124F3D">
        <w:t>обращения</w:t>
      </w:r>
      <w:r>
        <w:t xml:space="preserve">. </w:t>
      </w:r>
      <w:r w:rsidR="007A5E32">
        <w:t>Таким образом</w:t>
      </w:r>
      <w:r w:rsidR="00C13E53">
        <w:t>,</w:t>
      </w:r>
      <w:r w:rsidR="007A5E32">
        <w:t xml:space="preserve"> задолженности с пропущенными сроками взыскания в Кооперативе нет. </w:t>
      </w:r>
      <w:r w:rsidR="0082008A">
        <w:t xml:space="preserve">Кроме того </w:t>
      </w:r>
      <w:proofErr w:type="gramStart"/>
      <w:r w:rsidR="0082008A">
        <w:t>на</w:t>
      </w:r>
      <w:proofErr w:type="gramEnd"/>
      <w:r w:rsidR="0082008A">
        <w:t xml:space="preserve"> </w:t>
      </w:r>
    </w:p>
    <w:p w:rsidR="00C20641" w:rsidRDefault="006621A5" w:rsidP="00024C63">
      <w:pPr>
        <w:ind w:firstLine="708"/>
        <w:jc w:val="both"/>
      </w:pPr>
      <w:r>
        <w:lastRenderedPageBreak/>
        <w:t xml:space="preserve"> Портфель займов на 31.12.2016г составил</w:t>
      </w:r>
      <w:r w:rsidR="006A0D5B">
        <w:t xml:space="preserve"> 3,4 млн</w:t>
      </w:r>
      <w:proofErr w:type="gramStart"/>
      <w:r w:rsidR="006A0D5B">
        <w:t>.р</w:t>
      </w:r>
      <w:proofErr w:type="gramEnd"/>
      <w:r w:rsidR="006A0D5B">
        <w:t>ублей.</w:t>
      </w:r>
      <w:r w:rsidR="00F205F6">
        <w:t xml:space="preserve"> </w:t>
      </w:r>
      <w:r>
        <w:t>П</w:t>
      </w:r>
      <w:r w:rsidR="00F205F6">
        <w:t>аевой фо</w:t>
      </w:r>
      <w:r w:rsidR="009350AB">
        <w:t>нд  2,5 млн</w:t>
      </w:r>
      <w:proofErr w:type="gramStart"/>
      <w:r w:rsidR="009350AB">
        <w:t>.р</w:t>
      </w:r>
      <w:proofErr w:type="gramEnd"/>
      <w:r w:rsidR="009350AB">
        <w:t xml:space="preserve">ублей, привлеченные денежные средства </w:t>
      </w:r>
      <w:r w:rsidR="00C372BB">
        <w:t>0,1</w:t>
      </w:r>
      <w:r w:rsidR="00C11337">
        <w:t xml:space="preserve"> </w:t>
      </w:r>
      <w:r>
        <w:t>млн.рублей</w:t>
      </w:r>
      <w:r w:rsidR="00EB2FF6">
        <w:t>.</w:t>
      </w:r>
      <w:r w:rsidR="00275FF7">
        <w:t xml:space="preserve"> За 2016 год выдано 95 займов на сумму</w:t>
      </w:r>
      <w:r w:rsidR="000906A6">
        <w:t xml:space="preserve"> </w:t>
      </w:r>
      <w:r w:rsidR="00275FF7">
        <w:t>3,9 млн</w:t>
      </w:r>
      <w:proofErr w:type="gramStart"/>
      <w:r w:rsidR="00275FF7">
        <w:t>.р</w:t>
      </w:r>
      <w:proofErr w:type="gramEnd"/>
      <w:r w:rsidR="00275FF7">
        <w:t xml:space="preserve">ублей. </w:t>
      </w:r>
      <w:r w:rsidR="00565F51">
        <w:t>Для под</w:t>
      </w:r>
      <w:r w:rsidR="00C13E53">
        <w:t>держания</w:t>
      </w:r>
      <w:r w:rsidR="00565F51">
        <w:t xml:space="preserve"> социальной направленности </w:t>
      </w:r>
      <w:r w:rsidR="0014533A">
        <w:t>потребительских займов з</w:t>
      </w:r>
      <w:r w:rsidR="00565F51">
        <w:t xml:space="preserve">а 2016 год процентная ставка </w:t>
      </w:r>
      <w:r w:rsidR="0014533A">
        <w:t xml:space="preserve">за пользование займа </w:t>
      </w:r>
      <w:r w:rsidR="00565F51">
        <w:t xml:space="preserve">с 18% </w:t>
      </w:r>
      <w:r w:rsidR="00C13E53">
        <w:t xml:space="preserve">уменьшилась </w:t>
      </w:r>
      <w:r w:rsidR="00565F51">
        <w:t>до 1</w:t>
      </w:r>
      <w:r w:rsidR="00AD4E6A">
        <w:t>3</w:t>
      </w:r>
      <w:r w:rsidR="00565F51">
        <w:t xml:space="preserve">%. </w:t>
      </w:r>
      <w:r w:rsidR="000B5E87">
        <w:t>Д</w:t>
      </w:r>
      <w:r w:rsidR="0014533A">
        <w:t xml:space="preserve">обросовестные пайщики могут получить </w:t>
      </w:r>
      <w:proofErr w:type="spellStart"/>
      <w:r w:rsidR="0014533A">
        <w:t>займ</w:t>
      </w:r>
      <w:proofErr w:type="spellEnd"/>
      <w:r w:rsidR="0014533A">
        <w:t xml:space="preserve"> под 12% годов</w:t>
      </w:r>
      <w:r w:rsidR="00C13E53">
        <w:t>ых. Н</w:t>
      </w:r>
      <w:r w:rsidR="0014533A">
        <w:t>а оперативное лечение</w:t>
      </w:r>
      <w:r w:rsidR="00DD2108">
        <w:t>,</w:t>
      </w:r>
      <w:r w:rsidR="0014533A">
        <w:t xml:space="preserve"> </w:t>
      </w:r>
      <w:r w:rsidR="00C20641">
        <w:t>многодетным</w:t>
      </w:r>
      <w:r w:rsidR="00DD2108">
        <w:t xml:space="preserve"> родител</w:t>
      </w:r>
      <w:r w:rsidR="00C20641">
        <w:t>ям</w:t>
      </w:r>
      <w:r w:rsidR="00AD4E6A">
        <w:t xml:space="preserve">, в связи </w:t>
      </w:r>
      <w:proofErr w:type="gramStart"/>
      <w:r w:rsidR="00AD4E6A">
        <w:t>с</w:t>
      </w:r>
      <w:proofErr w:type="gramEnd"/>
      <w:r w:rsidR="00AD4E6A">
        <w:t xml:space="preserve"> стихийными бедствиями либо пожарами</w:t>
      </w:r>
      <w:r w:rsidR="00DD2108">
        <w:t xml:space="preserve"> </w:t>
      </w:r>
      <w:r w:rsidR="00C20641">
        <w:t>планируется займы выдавать по льготной процентной ставке -</w:t>
      </w:r>
      <w:r w:rsidR="00E43C1A">
        <w:t xml:space="preserve"> </w:t>
      </w:r>
      <w:r w:rsidR="00DD2108">
        <w:t xml:space="preserve"> </w:t>
      </w:r>
      <w:r w:rsidR="00C372BB">
        <w:t xml:space="preserve">ключевой </w:t>
      </w:r>
      <w:r w:rsidR="00DD2108">
        <w:t>ставке</w:t>
      </w:r>
      <w:r w:rsidR="00C372BB">
        <w:t xml:space="preserve"> ЦБ РФ</w:t>
      </w:r>
      <w:r w:rsidR="00DD2108">
        <w:t xml:space="preserve"> (сегодня она составляет 10%). </w:t>
      </w:r>
      <w:r w:rsidR="0082008A">
        <w:t>Добросовестным заемщика возможность получения займа увеличилась до 100,0 тыс</w:t>
      </w:r>
      <w:proofErr w:type="gramStart"/>
      <w:r w:rsidR="0082008A">
        <w:t>.р</w:t>
      </w:r>
      <w:proofErr w:type="gramEnd"/>
      <w:r w:rsidR="0082008A">
        <w:t>ублей</w:t>
      </w:r>
    </w:p>
    <w:p w:rsidR="003656D1" w:rsidRPr="003656D1" w:rsidRDefault="003656D1" w:rsidP="00024C63">
      <w:pPr>
        <w:ind w:firstLine="708"/>
        <w:jc w:val="both"/>
        <w:rPr>
          <w:b/>
          <w:sz w:val="28"/>
          <w:szCs w:val="28"/>
        </w:rPr>
      </w:pPr>
      <w:r w:rsidRPr="003656D1">
        <w:rPr>
          <w:b/>
          <w:sz w:val="28"/>
          <w:szCs w:val="28"/>
        </w:rPr>
        <w:t>Пайщики</w:t>
      </w:r>
      <w:r w:rsidR="0082008A">
        <w:rPr>
          <w:b/>
          <w:sz w:val="28"/>
          <w:szCs w:val="28"/>
        </w:rPr>
        <w:t xml:space="preserve"> </w:t>
      </w:r>
      <w:r w:rsidRPr="003656D1">
        <w:rPr>
          <w:b/>
          <w:sz w:val="28"/>
          <w:szCs w:val="28"/>
        </w:rPr>
        <w:t>- наше всё!</w:t>
      </w:r>
    </w:p>
    <w:p w:rsidR="007C4338" w:rsidRDefault="00674EDC" w:rsidP="00296A8A">
      <w:pPr>
        <w:spacing w:after="0"/>
        <w:ind w:firstLine="708"/>
        <w:jc w:val="both"/>
      </w:pPr>
      <w:r>
        <w:t xml:space="preserve">В 2016 году </w:t>
      </w:r>
      <w:r w:rsidR="00565F51">
        <w:t xml:space="preserve">за </w:t>
      </w:r>
      <w:r w:rsidR="0014533A">
        <w:t xml:space="preserve">потребительским </w:t>
      </w:r>
      <w:r w:rsidR="00565F51">
        <w:t>займом в кооп</w:t>
      </w:r>
      <w:r w:rsidR="000B5E87">
        <w:t xml:space="preserve">ератив обратилось  95 пайщиков из 17 районных и городских профсоюзных организаций, </w:t>
      </w:r>
      <w:r w:rsidR="00565F51">
        <w:t xml:space="preserve">которым было выдано  </w:t>
      </w:r>
      <w:r w:rsidR="000B5E87">
        <w:t>3866,0</w:t>
      </w:r>
      <w:r w:rsidR="00565F51">
        <w:t xml:space="preserve"> </w:t>
      </w:r>
      <w:r w:rsidR="0014533A">
        <w:t>тыс</w:t>
      </w:r>
      <w:proofErr w:type="gramStart"/>
      <w:r w:rsidR="0014533A">
        <w:t>.р</w:t>
      </w:r>
      <w:proofErr w:type="gramEnd"/>
      <w:r w:rsidR="0014533A">
        <w:t>ублей.</w:t>
      </w:r>
      <w:r w:rsidR="000C2E03" w:rsidRPr="000C2E03">
        <w:t xml:space="preserve"> </w:t>
      </w:r>
      <w:r w:rsidR="007C4338">
        <w:t>Старались сохранить уровень выданных займов</w:t>
      </w:r>
      <w:r w:rsidR="00B912AB">
        <w:t xml:space="preserve"> 2016 года к среднегодовому объему</w:t>
      </w:r>
      <w:r w:rsidR="007C4338">
        <w:t xml:space="preserve"> </w:t>
      </w:r>
      <w:r w:rsidR="00C372BB">
        <w:t xml:space="preserve">сложившемуся </w:t>
      </w:r>
      <w:r w:rsidR="007C4338">
        <w:t>за предыдущие годы</w:t>
      </w:r>
      <w:r w:rsidR="00DF2D04">
        <w:t xml:space="preserve"> (3,6 млн</w:t>
      </w:r>
      <w:proofErr w:type="gramStart"/>
      <w:r w:rsidR="00DF2D04">
        <w:t>.р</w:t>
      </w:r>
      <w:proofErr w:type="gramEnd"/>
      <w:r w:rsidR="00DF2D04">
        <w:t>ублей)</w:t>
      </w:r>
      <w:r w:rsidR="007C4338" w:rsidRPr="007C4338">
        <w:t>:</w:t>
      </w:r>
    </w:p>
    <w:p w:rsidR="0082008A" w:rsidRDefault="0082008A" w:rsidP="00296A8A">
      <w:pPr>
        <w:spacing w:after="0"/>
        <w:ind w:firstLine="708"/>
        <w:jc w:val="both"/>
      </w:pPr>
    </w:p>
    <w:p w:rsidR="0082008A" w:rsidRDefault="0082008A" w:rsidP="00296A8A">
      <w:pPr>
        <w:spacing w:after="0"/>
        <w:ind w:firstLine="708"/>
        <w:jc w:val="both"/>
      </w:pPr>
    </w:p>
    <w:p w:rsidR="003656D1" w:rsidRPr="00353976" w:rsidRDefault="003656D1" w:rsidP="009224E8">
      <w:pPr>
        <w:spacing w:after="120"/>
        <w:ind w:firstLine="708"/>
        <w:jc w:val="center"/>
        <w:rPr>
          <w:b/>
          <w:sz w:val="20"/>
          <w:szCs w:val="20"/>
        </w:rPr>
      </w:pPr>
      <w:r w:rsidRPr="00353976">
        <w:rPr>
          <w:b/>
          <w:sz w:val="20"/>
          <w:szCs w:val="20"/>
        </w:rPr>
        <w:t>Объем выданных займов</w:t>
      </w:r>
      <w:r w:rsidR="00353976" w:rsidRPr="00353976">
        <w:rPr>
          <w:b/>
          <w:sz w:val="20"/>
          <w:szCs w:val="20"/>
        </w:rPr>
        <w:t xml:space="preserve"> по годам:</w:t>
      </w:r>
    </w:p>
    <w:p w:rsidR="000C2E03" w:rsidRDefault="00800DB6" w:rsidP="00024C63">
      <w:pPr>
        <w:ind w:firstLine="708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2438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008A" w:rsidRDefault="0082008A" w:rsidP="00353976">
      <w:pPr>
        <w:ind w:firstLine="708"/>
        <w:jc w:val="center"/>
        <w:rPr>
          <w:b/>
          <w:sz w:val="20"/>
          <w:szCs w:val="20"/>
        </w:rPr>
      </w:pPr>
    </w:p>
    <w:p w:rsidR="0082008A" w:rsidRDefault="0082008A" w:rsidP="00353976">
      <w:pPr>
        <w:ind w:firstLine="708"/>
        <w:jc w:val="center"/>
        <w:rPr>
          <w:b/>
          <w:sz w:val="20"/>
          <w:szCs w:val="20"/>
        </w:rPr>
      </w:pPr>
    </w:p>
    <w:p w:rsidR="00353976" w:rsidRPr="00353976" w:rsidRDefault="00353976" w:rsidP="00353976">
      <w:pPr>
        <w:ind w:firstLine="708"/>
        <w:jc w:val="center"/>
        <w:rPr>
          <w:b/>
          <w:sz w:val="20"/>
          <w:szCs w:val="20"/>
        </w:rPr>
      </w:pPr>
      <w:r w:rsidRPr="00353976">
        <w:rPr>
          <w:b/>
          <w:sz w:val="20"/>
          <w:szCs w:val="20"/>
        </w:rPr>
        <w:t>Выданные займы в 201</w:t>
      </w:r>
      <w:r>
        <w:rPr>
          <w:b/>
          <w:sz w:val="20"/>
          <w:szCs w:val="20"/>
        </w:rPr>
        <w:t>6 году по территориям Забайка</w:t>
      </w:r>
      <w:r w:rsidRPr="00353976">
        <w:rPr>
          <w:b/>
          <w:sz w:val="20"/>
          <w:szCs w:val="20"/>
        </w:rPr>
        <w:t>льского края:</w:t>
      </w:r>
    </w:p>
    <w:p w:rsidR="00296A8A" w:rsidRDefault="00DD3156" w:rsidP="00296A8A">
      <w:pPr>
        <w:ind w:firstLine="708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19526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008A" w:rsidRDefault="0082008A" w:rsidP="00296A8A">
      <w:pPr>
        <w:ind w:firstLine="708"/>
        <w:jc w:val="center"/>
        <w:rPr>
          <w:b/>
          <w:sz w:val="24"/>
          <w:szCs w:val="24"/>
        </w:rPr>
      </w:pPr>
    </w:p>
    <w:p w:rsidR="0082008A" w:rsidRDefault="0082008A" w:rsidP="00296A8A">
      <w:pPr>
        <w:ind w:firstLine="708"/>
        <w:jc w:val="center"/>
        <w:rPr>
          <w:b/>
          <w:sz w:val="24"/>
          <w:szCs w:val="24"/>
        </w:rPr>
      </w:pPr>
    </w:p>
    <w:p w:rsidR="00C401E4" w:rsidRPr="003656D1" w:rsidRDefault="00371089" w:rsidP="00296A8A">
      <w:pPr>
        <w:ind w:firstLine="708"/>
        <w:jc w:val="center"/>
        <w:rPr>
          <w:b/>
          <w:sz w:val="24"/>
          <w:szCs w:val="24"/>
        </w:rPr>
      </w:pPr>
      <w:r w:rsidRPr="003656D1">
        <w:rPr>
          <w:b/>
          <w:sz w:val="24"/>
          <w:szCs w:val="24"/>
        </w:rPr>
        <w:lastRenderedPageBreak/>
        <w:t xml:space="preserve">Доля мужчин  </w:t>
      </w:r>
      <w:r w:rsidR="00DD3156" w:rsidRPr="003656D1">
        <w:rPr>
          <w:b/>
          <w:sz w:val="24"/>
          <w:szCs w:val="24"/>
        </w:rPr>
        <w:t xml:space="preserve">пользующихся займом </w:t>
      </w:r>
      <w:r w:rsidRPr="003656D1">
        <w:rPr>
          <w:b/>
          <w:sz w:val="24"/>
          <w:szCs w:val="24"/>
        </w:rPr>
        <w:t xml:space="preserve">составила </w:t>
      </w:r>
      <w:r w:rsidR="00F231B3" w:rsidRPr="003656D1">
        <w:rPr>
          <w:b/>
          <w:sz w:val="24"/>
          <w:szCs w:val="24"/>
        </w:rPr>
        <w:t>6</w:t>
      </w:r>
      <w:r w:rsidRPr="003656D1">
        <w:rPr>
          <w:b/>
          <w:sz w:val="24"/>
          <w:szCs w:val="24"/>
        </w:rPr>
        <w:t>%,</w:t>
      </w:r>
      <w:r w:rsidR="00F231B3" w:rsidRPr="003656D1">
        <w:rPr>
          <w:b/>
          <w:sz w:val="24"/>
          <w:szCs w:val="24"/>
        </w:rPr>
        <w:t xml:space="preserve"> женщин -94%.</w:t>
      </w:r>
    </w:p>
    <w:p w:rsidR="00F231B3" w:rsidRDefault="003D531D" w:rsidP="00024C63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591175" cy="16002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A8A" w:rsidRDefault="00296A8A" w:rsidP="003656D1">
      <w:pPr>
        <w:ind w:firstLine="708"/>
        <w:jc w:val="center"/>
        <w:rPr>
          <w:b/>
          <w:sz w:val="20"/>
          <w:szCs w:val="20"/>
        </w:rPr>
      </w:pPr>
    </w:p>
    <w:p w:rsidR="00296A8A" w:rsidRDefault="00296A8A" w:rsidP="00085EF8">
      <w:pPr>
        <w:ind w:firstLine="708"/>
        <w:rPr>
          <w:b/>
          <w:sz w:val="20"/>
          <w:szCs w:val="20"/>
        </w:rPr>
      </w:pPr>
    </w:p>
    <w:p w:rsidR="003656D1" w:rsidRPr="00353976" w:rsidRDefault="00085EF8" w:rsidP="003656D1">
      <w:pPr>
        <w:ind w:firstLine="708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Во</w:t>
      </w:r>
      <w:r w:rsidR="00C372BB">
        <w:rPr>
          <w:b/>
          <w:sz w:val="20"/>
          <w:szCs w:val="20"/>
        </w:rPr>
        <w:t>стребованн</w:t>
      </w:r>
      <w:r w:rsidR="003656D1" w:rsidRPr="003656D1">
        <w:rPr>
          <w:b/>
          <w:sz w:val="20"/>
          <w:szCs w:val="20"/>
        </w:rPr>
        <w:t>ость</w:t>
      </w:r>
      <w:proofErr w:type="spellEnd"/>
      <w:r w:rsidR="003656D1" w:rsidRPr="003656D1">
        <w:rPr>
          <w:b/>
          <w:sz w:val="20"/>
          <w:szCs w:val="20"/>
        </w:rPr>
        <w:t xml:space="preserve"> займов в 2016 году по составу работников</w:t>
      </w:r>
      <w:r w:rsidR="00353976" w:rsidRPr="00353976">
        <w:rPr>
          <w:b/>
          <w:sz w:val="20"/>
          <w:szCs w:val="20"/>
        </w:rPr>
        <w:t>:</w:t>
      </w:r>
    </w:p>
    <w:p w:rsidR="009F365A" w:rsidRDefault="009F365A" w:rsidP="00024C63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648325" cy="2314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1504" w:rsidRDefault="00F81504" w:rsidP="00F81504">
      <w:pPr>
        <w:ind w:firstLine="708"/>
        <w:jc w:val="both"/>
      </w:pPr>
      <w:r>
        <w:t xml:space="preserve">Наиболее востребованы займы у  учителей(21), воспитателей(13) и руководителей школ и структурных подразделений(21), у специалистов, служащих, бухгалтеров -18, </w:t>
      </w:r>
      <w:r w:rsidR="00353976">
        <w:t xml:space="preserve"> обслуживающего персонала –</w:t>
      </w:r>
      <w:r>
        <w:t xml:space="preserve"> 13</w:t>
      </w:r>
      <w:r w:rsidR="00353976">
        <w:t>.</w:t>
      </w:r>
    </w:p>
    <w:p w:rsidR="00F81504" w:rsidRPr="003656D1" w:rsidRDefault="00F81504" w:rsidP="00F81504">
      <w:pPr>
        <w:ind w:firstLine="708"/>
        <w:jc w:val="center"/>
        <w:rPr>
          <w:b/>
          <w:sz w:val="20"/>
          <w:szCs w:val="20"/>
        </w:rPr>
      </w:pPr>
      <w:r w:rsidRPr="003656D1">
        <w:rPr>
          <w:b/>
          <w:sz w:val="20"/>
          <w:szCs w:val="20"/>
        </w:rPr>
        <w:t>Популярность займов по возрастной шкале</w:t>
      </w:r>
    </w:p>
    <w:p w:rsidR="00296A8A" w:rsidRDefault="00B16F04" w:rsidP="00F81504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1621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81504" w:rsidRPr="00F81504">
        <w:rPr>
          <w:noProof/>
          <w:lang w:eastAsia="ru-RU"/>
        </w:rPr>
        <w:t xml:space="preserve"> </w:t>
      </w:r>
      <w:r w:rsidR="00F81504">
        <w:rPr>
          <w:noProof/>
          <w:lang w:eastAsia="ru-RU"/>
        </w:rPr>
        <w:tab/>
      </w:r>
    </w:p>
    <w:p w:rsidR="00F81504" w:rsidRDefault="00495CA4" w:rsidP="00F81504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В 2017 году предолжится работа</w:t>
      </w:r>
      <w:r w:rsidR="00CD72F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 совершенствованию локальных актов, </w:t>
      </w:r>
      <w:r w:rsidR="00CD72F7">
        <w:rPr>
          <w:noProof/>
          <w:lang w:eastAsia="ru-RU"/>
        </w:rPr>
        <w:t>по налаживанию</w:t>
      </w:r>
      <w:r>
        <w:rPr>
          <w:noProof/>
          <w:lang w:eastAsia="ru-RU"/>
        </w:rPr>
        <w:t xml:space="preserve"> дисципли</w:t>
      </w:r>
      <w:r w:rsidR="00CD72F7">
        <w:rPr>
          <w:noProof/>
          <w:lang w:eastAsia="ru-RU"/>
        </w:rPr>
        <w:t>ны среди заёмщиков и</w:t>
      </w:r>
      <w:r w:rsidR="001F784D" w:rsidRPr="001F784D">
        <w:rPr>
          <w:noProof/>
          <w:lang w:eastAsia="ru-RU"/>
        </w:rPr>
        <w:t xml:space="preserve"> </w:t>
      </w:r>
      <w:r w:rsidR="001F784D">
        <w:rPr>
          <w:noProof/>
          <w:lang w:eastAsia="ru-RU"/>
        </w:rPr>
        <w:t>серьёзная повседневная работа по</w:t>
      </w:r>
      <w:r w:rsidR="0082008A">
        <w:rPr>
          <w:noProof/>
          <w:lang w:eastAsia="ru-RU"/>
        </w:rPr>
        <w:t xml:space="preserve"> сохранению  Кооператива</w:t>
      </w:r>
      <w:r>
        <w:rPr>
          <w:noProof/>
          <w:lang w:eastAsia="ru-RU"/>
        </w:rPr>
        <w:t xml:space="preserve"> </w:t>
      </w:r>
      <w:r w:rsidR="00296A8A">
        <w:rPr>
          <w:noProof/>
          <w:lang w:eastAsia="ru-RU"/>
        </w:rPr>
        <w:t>.</w:t>
      </w:r>
      <w:r>
        <w:rPr>
          <w:noProof/>
          <w:lang w:eastAsia="ru-RU"/>
        </w:rPr>
        <w:t xml:space="preserve"> </w:t>
      </w:r>
      <w:r w:rsidR="00E2348C">
        <w:rPr>
          <w:noProof/>
          <w:lang w:eastAsia="ru-RU"/>
        </w:rPr>
        <w:t xml:space="preserve"> </w:t>
      </w:r>
    </w:p>
    <w:p w:rsidR="003D531D" w:rsidRDefault="00E43C1A" w:rsidP="00E43C1A">
      <w:pPr>
        <w:ind w:firstLine="708"/>
        <w:jc w:val="right"/>
      </w:pPr>
      <w:r>
        <w:rPr>
          <w:noProof/>
          <w:lang w:eastAsia="ru-RU"/>
        </w:rPr>
        <w:t>31.03.2017г.</w:t>
      </w:r>
    </w:p>
    <w:sectPr w:rsidR="003D531D" w:rsidSect="00296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B9"/>
    <w:rsid w:val="00024C63"/>
    <w:rsid w:val="0003549E"/>
    <w:rsid w:val="000476C5"/>
    <w:rsid w:val="00053AD1"/>
    <w:rsid w:val="00074F58"/>
    <w:rsid w:val="00085EF8"/>
    <w:rsid w:val="00090429"/>
    <w:rsid w:val="000906A6"/>
    <w:rsid w:val="000919ED"/>
    <w:rsid w:val="00095030"/>
    <w:rsid w:val="000B5E87"/>
    <w:rsid w:val="000C266D"/>
    <w:rsid w:val="000C2E03"/>
    <w:rsid w:val="000E1054"/>
    <w:rsid w:val="001020E5"/>
    <w:rsid w:val="00113232"/>
    <w:rsid w:val="001166F7"/>
    <w:rsid w:val="00124F3D"/>
    <w:rsid w:val="00131AAB"/>
    <w:rsid w:val="001415C9"/>
    <w:rsid w:val="0014533A"/>
    <w:rsid w:val="001A37A8"/>
    <w:rsid w:val="001D09CD"/>
    <w:rsid w:val="001F784D"/>
    <w:rsid w:val="00204473"/>
    <w:rsid w:val="00220744"/>
    <w:rsid w:val="00224B99"/>
    <w:rsid w:val="00275FF7"/>
    <w:rsid w:val="00296A8A"/>
    <w:rsid w:val="002B0610"/>
    <w:rsid w:val="00353976"/>
    <w:rsid w:val="003656D1"/>
    <w:rsid w:val="00371089"/>
    <w:rsid w:val="003D531D"/>
    <w:rsid w:val="004225CA"/>
    <w:rsid w:val="004361F9"/>
    <w:rsid w:val="00456D40"/>
    <w:rsid w:val="00462A30"/>
    <w:rsid w:val="004859AE"/>
    <w:rsid w:val="00495CA4"/>
    <w:rsid w:val="0051202C"/>
    <w:rsid w:val="00565F51"/>
    <w:rsid w:val="005C4237"/>
    <w:rsid w:val="005E59C6"/>
    <w:rsid w:val="0063109B"/>
    <w:rsid w:val="0063198D"/>
    <w:rsid w:val="006621A5"/>
    <w:rsid w:val="006728B1"/>
    <w:rsid w:val="00674EDC"/>
    <w:rsid w:val="006A0D5B"/>
    <w:rsid w:val="006E7673"/>
    <w:rsid w:val="00706010"/>
    <w:rsid w:val="0071487B"/>
    <w:rsid w:val="007512CD"/>
    <w:rsid w:val="0076484F"/>
    <w:rsid w:val="00777813"/>
    <w:rsid w:val="007A230C"/>
    <w:rsid w:val="007A5E32"/>
    <w:rsid w:val="007B64B9"/>
    <w:rsid w:val="007C4338"/>
    <w:rsid w:val="00800DB6"/>
    <w:rsid w:val="00815555"/>
    <w:rsid w:val="008160E5"/>
    <w:rsid w:val="0082008A"/>
    <w:rsid w:val="00854764"/>
    <w:rsid w:val="0089091B"/>
    <w:rsid w:val="008E0D13"/>
    <w:rsid w:val="008E4206"/>
    <w:rsid w:val="008F0F39"/>
    <w:rsid w:val="009224E8"/>
    <w:rsid w:val="0092687E"/>
    <w:rsid w:val="009350AB"/>
    <w:rsid w:val="00984CC4"/>
    <w:rsid w:val="00992EC2"/>
    <w:rsid w:val="009D4986"/>
    <w:rsid w:val="009F365A"/>
    <w:rsid w:val="00A73FFB"/>
    <w:rsid w:val="00AD4E6A"/>
    <w:rsid w:val="00B16F04"/>
    <w:rsid w:val="00B24548"/>
    <w:rsid w:val="00B912AB"/>
    <w:rsid w:val="00C11337"/>
    <w:rsid w:val="00C13E53"/>
    <w:rsid w:val="00C20641"/>
    <w:rsid w:val="00C372BB"/>
    <w:rsid w:val="00C401E4"/>
    <w:rsid w:val="00CA35D0"/>
    <w:rsid w:val="00CD72F7"/>
    <w:rsid w:val="00D00E0E"/>
    <w:rsid w:val="00D31773"/>
    <w:rsid w:val="00D64307"/>
    <w:rsid w:val="00DD2108"/>
    <w:rsid w:val="00DD3156"/>
    <w:rsid w:val="00DF2D04"/>
    <w:rsid w:val="00E04785"/>
    <w:rsid w:val="00E2348C"/>
    <w:rsid w:val="00E43C1A"/>
    <w:rsid w:val="00EB2FF6"/>
    <w:rsid w:val="00EF686E"/>
    <w:rsid w:val="00F12228"/>
    <w:rsid w:val="00F16424"/>
    <w:rsid w:val="00F205F6"/>
    <w:rsid w:val="00F231B3"/>
    <w:rsid w:val="00F56B6E"/>
    <w:rsid w:val="00F8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выданных займов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2012 - 2,2млн.руб.</c:v>
                </c:pt>
                <c:pt idx="1">
                  <c:v>2013 - 3,9млн.руб.</c:v>
                </c:pt>
                <c:pt idx="2">
                  <c:v>2014 - 4,0млн.руб.</c:v>
                </c:pt>
                <c:pt idx="3">
                  <c:v>2015 - 4,3млн.руб.</c:v>
                </c:pt>
                <c:pt idx="4">
                  <c:v>2016 - 3,9млн.руб.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3.9</c:v>
                </c:pt>
                <c:pt idx="2">
                  <c:v>4</c:v>
                </c:pt>
                <c:pt idx="3">
                  <c:v>4.3</c:v>
                </c:pt>
                <c:pt idx="4">
                  <c:v>3.9</c:v>
                </c:pt>
              </c:numCache>
            </c:numRef>
          </c:val>
        </c:ser>
        <c:shape val="cylinder"/>
        <c:axId val="160275456"/>
        <c:axId val="160400128"/>
        <c:axId val="0"/>
      </c:bar3DChart>
      <c:catAx>
        <c:axId val="160275456"/>
        <c:scaling>
          <c:orientation val="minMax"/>
        </c:scaling>
        <c:axPos val="b"/>
        <c:numFmt formatCode="General" sourceLinked="1"/>
        <c:tickLblPos val="nextTo"/>
        <c:crossAx val="160400128"/>
        <c:crosses val="autoZero"/>
        <c:auto val="1"/>
        <c:lblAlgn val="ctr"/>
        <c:lblOffset val="100"/>
      </c:catAx>
      <c:valAx>
        <c:axId val="160400128"/>
        <c:scaling>
          <c:orientation val="minMax"/>
        </c:scaling>
        <c:axPos val="l"/>
        <c:majorGridlines/>
        <c:numFmt formatCode="General" sourceLinked="1"/>
        <c:tickLblPos val="nextTo"/>
        <c:crossAx val="1602754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займов в 2016 году по районам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Могойтуйский район -29</c:v>
                </c:pt>
                <c:pt idx="1">
                  <c:v>Чернышевский район - 22</c:v>
                </c:pt>
                <c:pt idx="2">
                  <c:v>Читинский район -9</c:v>
                </c:pt>
                <c:pt idx="3">
                  <c:v>Агинский район - 7</c:v>
                </c:pt>
                <c:pt idx="4">
                  <c:v>Город Чита -6</c:v>
                </c:pt>
                <c:pt idx="5">
                  <c:v>другие районы - 22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22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342284845973202"/>
          <c:y val="0.26386118401866432"/>
          <c:w val="0.40903329189114518"/>
          <c:h val="0.6858572308091135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женшин - 94%</c:v>
                </c:pt>
              </c:strCache>
            </c:strRef>
          </c:tx>
          <c:dLbls>
            <c:dLbl>
              <c:idx val="0"/>
              <c:layout>
                <c:manualLayout>
                  <c:x val="6.8143100511073263E-3"/>
                  <c:y val="-0.412698412698412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>
                        <a:solidFill>
                          <a:srgbClr val="FFFF00"/>
                        </a:solidFill>
                      </a:rPr>
                      <a:t>89 женщин</a:t>
                    </a:r>
                    <a:endParaRPr lang="en-US">
                      <a:solidFill>
                        <a:srgbClr val="FFFF00"/>
                      </a:solidFill>
                    </a:endParaRPr>
                  </a:p>
                </c:rich>
              </c:tx>
              <c:dLblPos val="inBase"/>
              <c:showVal val="1"/>
            </c:dLbl>
            <c:dLblPos val="inBase"/>
            <c:showVal val="1"/>
          </c:dLbls>
          <c:cat>
            <c:strRef>
              <c:f>Лист1!$A$2</c:f>
              <c:strCache>
                <c:ptCount val="1"/>
                <c:pt idx="0">
                  <c:v>Выданные займы в 2016 году среди мужчин и женщин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мужчин -6%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мужчин</a:t>
                    </a:r>
                    <a:endParaRPr lang="en-US"/>
                  </a:p>
                </c:rich>
              </c:tx>
              <c:dLblPos val="inBase"/>
              <c:showVal val="1"/>
            </c:dLbl>
            <c:dLblPos val="inBase"/>
            <c:showVal val="1"/>
          </c:dLbls>
          <c:cat>
            <c:strRef>
              <c:f>Лист1!$A$2</c:f>
              <c:strCache>
                <c:ptCount val="1"/>
                <c:pt idx="0">
                  <c:v>Выданные займы в 2016 году среди мужчин и женщин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67332864"/>
        <c:axId val="161153792"/>
      </c:barChart>
      <c:catAx>
        <c:axId val="167332864"/>
        <c:scaling>
          <c:orientation val="minMax"/>
        </c:scaling>
        <c:delete val="1"/>
        <c:axPos val="b"/>
        <c:tickLblPos val="none"/>
        <c:crossAx val="161153792"/>
        <c:crosses val="autoZero"/>
        <c:auto val="1"/>
        <c:lblAlgn val="ctr"/>
        <c:lblOffset val="100"/>
      </c:catAx>
      <c:valAx>
        <c:axId val="161153792"/>
        <c:scaling>
          <c:orientation val="minMax"/>
        </c:scaling>
        <c:axPos val="l"/>
        <c:majorGridlines/>
        <c:numFmt formatCode="General" sourceLinked="1"/>
        <c:tickLblPos val="nextTo"/>
        <c:crossAx val="167332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Востребованность займв в 2016 году по составу работников образования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педагогические работники-34</c:v>
                </c:pt>
                <c:pt idx="1">
                  <c:v>руководители школ, доу и структурных подразделений-21</c:v>
                </c:pt>
                <c:pt idx="2">
                  <c:v>бухгалтера, специалисты, служащие-18</c:v>
                </c:pt>
                <c:pt idx="3">
                  <c:v>ослуживающий техперсонал-13</c:v>
                </c:pt>
                <c:pt idx="4">
                  <c:v>другие категории работников-9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21</c:v>
                </c:pt>
                <c:pt idx="2">
                  <c:v>18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</c:ser>
        <c:axId val="161198080"/>
        <c:axId val="161199616"/>
      </c:barChart>
      <c:catAx>
        <c:axId val="161198080"/>
        <c:scaling>
          <c:orientation val="minMax"/>
        </c:scaling>
        <c:axPos val="l"/>
        <c:tickLblPos val="nextTo"/>
        <c:crossAx val="161199616"/>
        <c:crosses val="autoZero"/>
        <c:auto val="1"/>
        <c:lblAlgn val="ctr"/>
        <c:lblOffset val="100"/>
      </c:catAx>
      <c:valAx>
        <c:axId val="161199616"/>
        <c:scaling>
          <c:orientation val="minMax"/>
        </c:scaling>
        <c:axPos val="b"/>
        <c:majorGridlines/>
        <c:numFmt formatCode="General" sourceLinked="1"/>
        <c:tickLblPos val="nextTo"/>
        <c:crossAx val="1611980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23-35 лет - 22 займа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Выданные займы в 2016 году по возрастным категориям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35-45 лет -29 займов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Выданные займы в 2016 году по возрастным категориям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46-55 лет - 29 займов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Выданные займы в 2016 году по возрастным категориям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56-70 лет-15 займов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Выданные займы в 2016 году по возрастным категориям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hape val="cone"/>
        <c:axId val="161239808"/>
        <c:axId val="161241344"/>
        <c:axId val="0"/>
      </c:bar3DChart>
      <c:catAx>
        <c:axId val="161239808"/>
        <c:scaling>
          <c:orientation val="minMax"/>
        </c:scaling>
        <c:axPos val="b"/>
        <c:tickLblPos val="nextTo"/>
        <c:crossAx val="161241344"/>
        <c:crosses val="autoZero"/>
        <c:auto val="1"/>
        <c:lblAlgn val="ctr"/>
        <c:lblOffset val="100"/>
      </c:catAx>
      <c:valAx>
        <c:axId val="161241344"/>
        <c:scaling>
          <c:orientation val="minMax"/>
        </c:scaling>
        <c:axPos val="l"/>
        <c:majorGridlines/>
        <c:numFmt formatCode="General" sourceLinked="1"/>
        <c:tickLblPos val="nextTo"/>
        <c:crossAx val="16123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2017-03-20T01:55:00Z</cp:lastPrinted>
  <dcterms:created xsi:type="dcterms:W3CDTF">2017-11-07T05:21:00Z</dcterms:created>
  <dcterms:modified xsi:type="dcterms:W3CDTF">2017-11-09T06:43:00Z</dcterms:modified>
</cp:coreProperties>
</file>